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4"/>
          <w:szCs w:val="34"/>
          <w:u w:val="single"/>
        </w:rPr>
      </w:pPr>
      <w:r w:rsidDel="00000000" w:rsidR="00000000" w:rsidRPr="00000000">
        <w:rPr>
          <w:b w:val="1"/>
          <w:color w:val="0000ff"/>
          <w:sz w:val="34"/>
          <w:szCs w:val="34"/>
          <w:u w:val="single"/>
          <w:rtl w:val="0"/>
        </w:rPr>
        <w:t xml:space="preserve">Lo que necesitamos para sentirnos en seguridad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Juicio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Empatía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Aceptación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Escucha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Confidencialidad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Libertad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Igualdad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Humildad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Frescura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Compromiso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Respeto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Compartir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Apertura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Presencia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Conexión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Sinceridad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 exigencia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Chequear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Humor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Fraternidad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